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napToGrid w:val="0"/>
        <w:jc w:val="center"/>
        <w:outlineLvl w:val="0"/>
        <w:rPr>
          <w:rFonts w:ascii="Times New Roman" w:hAnsi="Times New Roman" w:eastAsia="黑体" w:cs="Times New Roman"/>
          <w:bCs/>
          <w:kern w:val="36"/>
          <w:sz w:val="36"/>
          <w:szCs w:val="48"/>
        </w:rPr>
      </w:pPr>
      <w:bookmarkStart w:id="0" w:name="_Toc306885633"/>
      <w:bookmarkStart w:id="1" w:name="_Toc321936055"/>
      <w:bookmarkStart w:id="2" w:name="_Toc321937332"/>
      <w:bookmarkStart w:id="3" w:name="_Toc321937819"/>
      <w:bookmarkStart w:id="4" w:name="_Toc321937975"/>
      <w:r>
        <w:rPr>
          <w:rFonts w:hint="eastAsia" w:ascii="Times New Roman" w:hAnsi="Times New Roman" w:eastAsia="黑体" w:cs="Times New Roman"/>
          <w:bCs/>
          <w:kern w:val="36"/>
          <w:sz w:val="36"/>
          <w:szCs w:val="48"/>
        </w:rPr>
        <w:t>经济管理学院</w:t>
      </w:r>
      <w:r>
        <w:rPr>
          <w:rFonts w:ascii="Times New Roman" w:hAnsi="Times New Roman" w:eastAsia="黑体" w:cs="Times New Roman"/>
          <w:bCs/>
          <w:kern w:val="36"/>
          <w:sz w:val="36"/>
          <w:szCs w:val="48"/>
        </w:rPr>
        <w:t>学生社团评</w:t>
      </w:r>
      <w:r>
        <w:rPr>
          <w:rFonts w:hint="eastAsia" w:ascii="Times New Roman" w:hAnsi="Times New Roman" w:eastAsia="黑体" w:cs="Times New Roman"/>
          <w:bCs/>
          <w:kern w:val="36"/>
          <w:sz w:val="36"/>
          <w:szCs w:val="48"/>
        </w:rPr>
        <w:t>级</w:t>
      </w:r>
      <w:r>
        <w:rPr>
          <w:rFonts w:ascii="Times New Roman" w:hAnsi="Times New Roman" w:eastAsia="黑体" w:cs="Times New Roman"/>
          <w:bCs/>
          <w:kern w:val="36"/>
          <w:sz w:val="36"/>
          <w:szCs w:val="48"/>
        </w:rPr>
        <w:t>评分表</w:t>
      </w:r>
      <w:bookmarkEnd w:id="0"/>
      <w:bookmarkEnd w:id="1"/>
      <w:bookmarkEnd w:id="2"/>
      <w:bookmarkEnd w:id="3"/>
      <w:bookmarkEnd w:id="4"/>
    </w:p>
    <w:p>
      <w:pPr>
        <w:spacing w:line="360" w:lineRule="auto"/>
        <w:rPr>
          <w:rFonts w:ascii="Times New Roman" w:hAnsi="Times New Roman" w:eastAsia="黑体" w:cs="Times New Roman"/>
          <w:sz w:val="24"/>
          <w:szCs w:val="24"/>
        </w:rPr>
      </w:pPr>
    </w:p>
    <w:tbl>
      <w:tblPr>
        <w:tblStyle w:val="3"/>
        <w:tblW w:w="9984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547"/>
        <w:gridCol w:w="1592"/>
        <w:gridCol w:w="928"/>
        <w:gridCol w:w="2519"/>
        <w:gridCol w:w="1694"/>
        <w:gridCol w:w="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92" w:hRule="atLeast"/>
        </w:trPr>
        <w:tc>
          <w:tcPr>
            <w:tcW w:w="2547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社团名称</w:t>
            </w:r>
          </w:p>
        </w:tc>
        <w:tc>
          <w:tcPr>
            <w:tcW w:w="252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double" w:color="auto" w:sz="4" w:space="0"/>
            </w:tcBorders>
            <w:vAlign w:val="center"/>
          </w:tcPr>
          <w:p>
            <w:pPr>
              <w:ind w:firstLine="720" w:firstLineChars="3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编号</w:t>
            </w:r>
          </w:p>
        </w:tc>
        <w:tc>
          <w:tcPr>
            <w:tcW w:w="2398" w:type="dxa"/>
            <w:gridSpan w:val="2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5" w:hRule="atLeast"/>
        </w:trPr>
        <w:tc>
          <w:tcPr>
            <w:tcW w:w="9984" w:type="dxa"/>
            <w:gridSpan w:val="6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一．基础建设（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1.组织机构健全(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2.干部梯队建设良好(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3.有完整的会员档案(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4.章程、财务等制度(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5.有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详细的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会议记录(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6.无违纪违规(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7.参加社联会议(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8.干部培训(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47" w:type="dxa"/>
            <w:tcBorders>
              <w:left w:val="double" w:color="auto" w:sz="4" w:space="0"/>
            </w:tcBorders>
            <w:vAlign w:val="top"/>
          </w:tcPr>
          <w:p>
            <w:pPr>
              <w:ind w:firstLine="240" w:firstLineChars="1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本项合计</w:t>
            </w:r>
          </w:p>
        </w:tc>
        <w:tc>
          <w:tcPr>
            <w:tcW w:w="7437" w:type="dxa"/>
            <w:gridSpan w:val="5"/>
            <w:tcBorders>
              <w:right w:val="double" w:color="auto" w:sz="4" w:space="0"/>
            </w:tcBorders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0" w:hRule="atLeast"/>
        </w:trPr>
        <w:tc>
          <w:tcPr>
            <w:tcW w:w="9984" w:type="dxa"/>
            <w:gridSpan w:val="6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二．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社团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活动开展（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1.年度开展活动次数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（10次以上8分，以下5分）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2.年度参与院级集体活动次数</w:t>
            </w:r>
          </w:p>
          <w:p>
            <w:pPr>
              <w:rPr>
                <w:rFonts w:ascii="Times New Roman" w:hAnsi="Times New Roman" w:eastAsia="仿宋_GB2312" w:cs="Times New Roman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（80%以上参与度8分，以下5分）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.能活跃校园文化氛围(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ascii="Times New Roman" w:hAnsi="Times New Roman" w:eastAsia="仿宋_GB2312" w:cs="Times New Roman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.活动计划详细、预算明确(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.及时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沟通院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社 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活动效果良好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44" w:hRule="atLeast"/>
        </w:trPr>
        <w:tc>
          <w:tcPr>
            <w:tcW w:w="4139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7.年度社团监察平均分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（百分制折合为十分制，满分10分）</w:t>
            </w:r>
          </w:p>
        </w:tc>
        <w:tc>
          <w:tcPr>
            <w:tcW w:w="5845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47" w:type="dxa"/>
            <w:tcBorders>
              <w:left w:val="double" w:color="auto" w:sz="4" w:space="0"/>
            </w:tcBorders>
            <w:vAlign w:val="top"/>
          </w:tcPr>
          <w:p>
            <w:pPr>
              <w:ind w:firstLine="240" w:firstLineChars="1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本项合计</w:t>
            </w:r>
          </w:p>
        </w:tc>
        <w:tc>
          <w:tcPr>
            <w:tcW w:w="7437" w:type="dxa"/>
            <w:gridSpan w:val="5"/>
            <w:tcBorders>
              <w:right w:val="double" w:color="auto" w:sz="4" w:space="0"/>
            </w:tcBorders>
            <w:vAlign w:val="top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984" w:type="dxa"/>
            <w:gridSpan w:val="6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三．组织沟通，媒体报道（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1.配合社联工作开展(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2.与其他学生组织的沟通(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3.国家级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、省级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媒体报道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（15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级媒体报道(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其它媒体报道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（含院内）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分)</w:t>
            </w: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w w:val="80"/>
                <w:sz w:val="24"/>
                <w:szCs w:val="24"/>
              </w:rPr>
            </w:pP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47" w:type="dxa"/>
            <w:tcBorders>
              <w:left w:val="double" w:color="auto" w:sz="4" w:space="0"/>
            </w:tcBorders>
            <w:vAlign w:val="top"/>
          </w:tcPr>
          <w:p>
            <w:pPr>
              <w:ind w:firstLine="240" w:firstLineChars="1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本项合计</w:t>
            </w:r>
          </w:p>
        </w:tc>
        <w:tc>
          <w:tcPr>
            <w:tcW w:w="7437" w:type="dxa"/>
            <w:gridSpan w:val="5"/>
            <w:tcBorders>
              <w:right w:val="double" w:color="auto" w:sz="4" w:space="0"/>
            </w:tcBorders>
            <w:vAlign w:val="top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74" w:hRule="atLeast"/>
        </w:trPr>
        <w:tc>
          <w:tcPr>
            <w:tcW w:w="9984" w:type="dxa"/>
            <w:gridSpan w:val="6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四．其他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得分项目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分数</w:t>
            </w:r>
          </w:p>
        </w:tc>
        <w:tc>
          <w:tcPr>
            <w:tcW w:w="421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得分项目</w:t>
            </w: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39" w:type="dxa"/>
            <w:gridSpan w:val="2"/>
            <w:tcBorders>
              <w:left w:val="double" w:color="auto" w:sz="4" w:space="0"/>
            </w:tcBorders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8" w:type="dxa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3" w:type="dxa"/>
            <w:gridSpan w:val="2"/>
            <w:vAlign w:val="top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4" w:type="dxa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47" w:type="dxa"/>
            <w:tcBorders>
              <w:left w:val="doub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本项合计</w:t>
            </w:r>
          </w:p>
        </w:tc>
        <w:tc>
          <w:tcPr>
            <w:tcW w:w="7437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47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ind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总计</w:t>
            </w:r>
          </w:p>
        </w:tc>
        <w:tc>
          <w:tcPr>
            <w:tcW w:w="7437" w:type="dxa"/>
            <w:gridSpan w:val="5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widowControl/>
        <w:spacing w:before="100" w:beforeAutospacing="1" w:after="100" w:afterAutospacing="1" w:line="360" w:lineRule="auto"/>
        <w:ind w:firstLine="4357" w:firstLineChars="1550"/>
      </w:pPr>
      <w:r>
        <w:rPr>
          <w:rFonts w:hint="eastAsia" w:ascii="黑体" w:hAnsi="Times New Roman" w:eastAsia="黑体" w:cs="Times New Roman"/>
          <w:b/>
          <w:bCs/>
          <w:color w:val="000000"/>
          <w:sz w:val="28"/>
          <w:szCs w:val="28"/>
        </w:rPr>
        <w:t>经济管理学院学生社团联合会制</w:t>
      </w:r>
      <w:bookmarkStart w:id="5" w:name="_GoBack"/>
      <w:bookmarkEnd w:id="5"/>
    </w:p>
    <w:sectPr>
      <w:pgSz w:w="11907" w:h="16840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